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Checklist phẫu thuật rách da đầu gà (Skullcap) – Bản tối giản cho cơ sở chăn nuôi nhỏ – DMCTN</w:t>
      </w:r>
    </w:p>
    <w:p>
      <w:r>
        <w:t>Meta title: Checklist phẫu thuật đầu gà cho cơ sở nhỏ – DMCTN</w:t>
      </w:r>
    </w:p>
    <w:p>
      <w:r>
        <w:t>Meta description (≤160): Checklist phẫu thuật rách da đầu gà kiểu “skullcap”, dùng vật tư dễ mua, có bảng pha nhanh CHX/PVI, liều nhanh, thay thế gia dụng và checklist in A4.</w:t>
      </w:r>
    </w:p>
    <w:p>
      <w:r>
        <w:t>Từ khóa: checklist phẫu thuật gà; băng skullcap; rửa vết thương gà; chlorhexidine 0.05%; povidone iodine 1%; meloxicam cho gà; enrofloxacin liều; gây tê lidocain 1%; băng hydrocolloid; chăm sóc hậu phẫu gà</w:t>
      </w:r>
    </w:p>
    <w:p/>
    <w:p>
      <w:r>
        <w:rPr>
          <w:b/>
          <w:sz w:val="28"/>
        </w:rPr>
        <w:t>Tóm tắt nhanh</w:t>
      </w:r>
    </w:p>
    <w:p>
      <w:r>
        <w:t>Mục tiêu: an toàn – chi phí thấp – dễ làm. Trọng tâm là rửa sạch, sát trùng loãng, giữ ẩm (hydrocolloid/giải pháp gia dụng), giảm căng, theo dõi ấm – yên tĩnh. Đóng kín trì hoãn khi mép da đủ và nền mô sạch.</w:t>
      </w:r>
    </w:p>
    <w:p>
      <w:r>
        <w:rPr>
          <w:b/>
          <w:sz w:val="28"/>
        </w:rPr>
        <w:t>Bảng pha nhanh (in dán cạnh bàn)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  <w:vAlign w:val="center"/>
          </w:tcPr>
          <w:p>
            <w:r>
              <w:t>Mục tiêu</w:t>
            </w:r>
          </w:p>
        </w:tc>
        <w:tc>
          <w:tcPr>
            <w:tcW w:type="dxa" w:w="2880"/>
            <w:vAlign w:val="center"/>
          </w:tcPr>
          <w:p>
            <w:r>
              <w:t>Nguồn dễ mua</w:t>
            </w:r>
          </w:p>
        </w:tc>
        <w:tc>
          <w:tcPr>
            <w:tcW w:type="dxa" w:w="2880"/>
            <w:vAlign w:val="center"/>
          </w:tcPr>
          <w:p>
            <w:r>
              <w:t>Cách pha</w:t>
            </w:r>
          </w:p>
        </w:tc>
      </w:tr>
      <w:tr>
        <w:tc>
          <w:tcPr>
            <w:tcW w:type="dxa" w:w="2880"/>
            <w:vAlign w:val="center"/>
          </w:tcPr>
          <w:p>
            <w:r>
              <w:t>NaCl 0,9%</w:t>
            </w:r>
          </w:p>
        </w:tc>
        <w:tc>
          <w:tcPr>
            <w:tcW w:type="dxa" w:w="2880"/>
            <w:vAlign w:val="center"/>
          </w:tcPr>
          <w:p>
            <w:r>
              <w:t>Nước đun sôi + muối ăn</w:t>
            </w:r>
          </w:p>
        </w:tc>
        <w:tc>
          <w:tcPr>
            <w:tcW w:type="dxa" w:w="2880"/>
            <w:vAlign w:val="center"/>
          </w:tcPr>
          <w:p>
            <w:r>
              <w:t>9 g muối/1 lít; dùng trong 24h</w:t>
            </w:r>
          </w:p>
        </w:tc>
      </w:tr>
      <w:tr>
        <w:tc>
          <w:tcPr>
            <w:tcW w:type="dxa" w:w="2880"/>
            <w:vAlign w:val="center"/>
          </w:tcPr>
          <w:p>
            <w:r>
              <w:t>CHX ~0,05%</w:t>
            </w:r>
          </w:p>
        </w:tc>
        <w:tc>
          <w:tcPr>
            <w:tcW w:type="dxa" w:w="2880"/>
            <w:vAlign w:val="center"/>
          </w:tcPr>
          <w:p>
            <w:r>
              <w:t>Nước súc miệng CHX 0,12%</w:t>
            </w:r>
          </w:p>
        </w:tc>
        <w:tc>
          <w:tcPr>
            <w:tcW w:type="dxa" w:w="2880"/>
            <w:vAlign w:val="center"/>
          </w:tcPr>
          <w:p>
            <w:r>
              <w:t>Pha 1:2 → ~0,06% (đủ dùng)</w:t>
            </w:r>
          </w:p>
        </w:tc>
      </w:tr>
      <w:tr>
        <w:tc>
          <w:tcPr>
            <w:tcW w:type="dxa" w:w="2880"/>
            <w:vAlign w:val="center"/>
          </w:tcPr>
          <w:p>
            <w:r>
              <w:t>Povidone-iodine 0,5–1%</w:t>
            </w:r>
          </w:p>
        </w:tc>
        <w:tc>
          <w:tcPr>
            <w:tcW w:type="dxa" w:w="2880"/>
            <w:vAlign w:val="center"/>
          </w:tcPr>
          <w:p>
            <w:r>
              <w:t>Betadine 10%</w:t>
            </w:r>
          </w:p>
        </w:tc>
        <w:tc>
          <w:tcPr>
            <w:tcW w:type="dxa" w:w="2880"/>
            <w:vAlign w:val="center"/>
          </w:tcPr>
          <w:p>
            <w:r>
              <w:t>Pha ≤1:10 (1 Betadine + 9 nước)</w:t>
            </w:r>
          </w:p>
        </w:tc>
      </w:tr>
      <w:tr>
        <w:tc>
          <w:tcPr>
            <w:tcW w:type="dxa" w:w="2880"/>
            <w:vAlign w:val="center"/>
          </w:tcPr>
          <w:p>
            <w:r>
              <w:t>Lidocain 1% (gây tê)</w:t>
            </w:r>
          </w:p>
        </w:tc>
        <w:tc>
          <w:tcPr>
            <w:tcW w:type="dxa" w:w="2880"/>
            <w:vAlign w:val="center"/>
          </w:tcPr>
          <w:p>
            <w:r>
              <w:t>Lidocain 2%</w:t>
            </w:r>
          </w:p>
        </w:tc>
        <w:tc>
          <w:tcPr>
            <w:tcW w:type="dxa" w:w="2880"/>
            <w:vAlign w:val="center"/>
          </w:tcPr>
          <w:p>
            <w:r>
              <w:t>Pha 1:1 với NaCl 0,9%</w:t>
            </w:r>
          </w:p>
        </w:tc>
      </w:tr>
    </w:tbl>
    <w:p/>
    <w:p>
      <w:r>
        <w:rPr>
          <w:b/>
          <w:sz w:val="28"/>
        </w:rPr>
        <w:t>Liều nhanh (tham khảo)</w:t>
      </w:r>
    </w:p>
    <w:p>
      <w:pPr>
        <w:pStyle w:val="ListBullet"/>
      </w:pPr>
      <w:r>
        <w:t>Giảm đau: Meloxicam 0,2–0,5 mg/kg PO/IM mỗi 24h (ngắn ngày có thể 0,5–1 mg/kg; theo dõi ăn/uống, thận).</w:t>
      </w:r>
    </w:p>
    <w:p>
      <w:pPr>
        <w:pStyle w:val="ListBullet"/>
      </w:pPr>
      <w:r>
        <w:t>An thần/giảm đau: Midazolam 0,5–1 mg/kg IM; Butorphanol 0,5–1 mg/kg IM (khi cần).</w:t>
      </w:r>
    </w:p>
    <w:p>
      <w:pPr>
        <w:pStyle w:val="ListBullet"/>
      </w:pPr>
      <w:r>
        <w:t>Kháng sinh (khi vết bẩn sâu/bị cắn/đóng kín): Enrofloxacin 15–20 mg/kg PO/IM mỗi 12h; hoặc TMP–SMX 50–100 mg/kg PO mỗi 12h.</w:t>
      </w:r>
    </w:p>
    <w:p>
      <w:pPr>
        <w:pStyle w:val="ListBullet"/>
      </w:pPr>
      <w:r>
        <w:t>Gây tê tại chỗ: Lidocain tối đa ~4 mg/kg, tiêm nhiều điểm quanh mép da, hút thử trước khi bơm.</w:t>
      </w:r>
    </w:p>
    <w:p>
      <w:r>
        <w:br w:type="page"/>
      </w:r>
    </w:p>
    <w:p>
      <w:r>
        <w:rPr>
          <w:b/>
          <w:sz w:val="28"/>
        </w:rPr>
        <w:t>Quy trình 6 bước – băng “Skullcap” giữ ẩm (không cần máy móc)</w:t>
      </w:r>
    </w:p>
    <w:p>
      <w:pPr>
        <w:pStyle w:val="ListBullet"/>
      </w:pPr>
      <w:r>
        <w:t>Cách ly – giữ ấm 22–25°C; trùm khăn nhẹ cho yên tĩnh.</w:t>
      </w:r>
    </w:p>
    <w:p>
      <w:pPr>
        <w:pStyle w:val="ListBullet"/>
      </w:pPr>
      <w:r>
        <w:t>Cắt lông rộng; che mắt/ống tai. Rửa NaCl 0,9% → sát trùng CHX 0,05% hoặc PVI 0,5–1% (tránh đậm đặc).</w:t>
      </w:r>
    </w:p>
    <w:p>
      <w:pPr>
        <w:pStyle w:val="ListBullet"/>
      </w:pPr>
      <w:r>
        <w:t>Cắt lọc nhẹ mô hoại tử; tránh cạo mạnh vùng xương khô.</w:t>
      </w:r>
    </w:p>
    <w:p>
      <w:pPr>
        <w:pStyle w:val="ListBullet"/>
      </w:pPr>
      <w:r>
        <w:t>Đặt gạc không dính + (nếu có) lớp mỏng hydrocolloid;</w:t>
      </w:r>
    </w:p>
    <w:p>
      <w:pPr>
        <w:pStyle w:val="ListBullet"/>
      </w:pPr>
      <w:r>
        <w:t>Dán màng film (Tegaderm/giải pháp màng bọc thực phẩm có đục lỗ) kiểu “skullcap”, không che tai, không siết hàm;</w:t>
      </w:r>
    </w:p>
    <w:p>
      <w:pPr>
        <w:pStyle w:val="ListBullet"/>
      </w:pPr>
      <w:r>
        <w:t>Theo dõi 24–48 h, thay băng 2–3 ngày/lần; khi mô hạt phủ tốt và mép da giảm căng → cân nhắc khâu trì hoãn bằng nylon 4-0 / mũi rời/đệm ngang.</w:t>
      </w:r>
    </w:p>
    <w:p>
      <w:r>
        <w:t>Cảnh báo: Tránh thuốc mỡ nền petroleum (bết lông, mất cách nhiệt). Luôn giữ ấm trong/sau thủ thuật.</w:t>
      </w:r>
    </w:p>
    <w:p>
      <w:r>
        <w:rPr>
          <w:b/>
          <w:sz w:val="28"/>
        </w:rPr>
        <w:t>Dụng cụ &amp; vật tư tối thiểu</w:t>
      </w:r>
    </w:p>
    <w:p>
      <w:pPr>
        <w:pStyle w:val="ListBullet"/>
      </w:pPr>
      <w:r>
        <w:t>Găng tay sạch, kéo cắt lông, khăn sạch.</w:t>
      </w:r>
    </w:p>
    <w:p>
      <w:pPr>
        <w:pStyle w:val="ListBullet"/>
      </w:pPr>
      <w:r>
        <w:t>Dao lam/dao rọc giấy mới + cán tạm; nhíp/kềm nhỏ (giữ kim).</w:t>
      </w:r>
    </w:p>
    <w:p>
      <w:pPr>
        <w:pStyle w:val="ListBullet"/>
      </w:pPr>
      <w:r>
        <w:t>Bơm tiêm 20–50 ml + ống thông 18–20G để rửa.</w:t>
      </w:r>
    </w:p>
    <w:p>
      <w:pPr>
        <w:pStyle w:val="ListBullet"/>
      </w:pPr>
      <w:r>
        <w:t>Gạc không dính + gạc cuộn + băng giấy/vải; màng film IV (nếu có).</w:t>
      </w:r>
    </w:p>
    <w:p>
      <w:pPr>
        <w:pStyle w:val="ListBullet"/>
      </w:pPr>
      <w:r>
        <w:t>Chỉ nylon 4-0/5-0 (hoặc cước câu 0,18–0,22 mm đã khử khuẩn), kim cong nhỏ.</w:t>
      </w:r>
    </w:p>
    <w:p>
      <w:pPr>
        <w:pStyle w:val="ListBullet"/>
      </w:pPr>
      <w:r>
        <w:t>Nguồn sưởi rẻ: đèn 40–60W, chai nước ấm bọc khăn, túi gạo ấm.</w:t>
      </w:r>
    </w:p>
    <w:p>
      <w:r>
        <w:rPr>
          <w:b/>
          <w:sz w:val="28"/>
        </w:rPr>
        <w:t>Thay thế gia dụng (khi thiếu đồ chuyên dụng)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  <w:vAlign w:val="center"/>
          </w:tcPr>
          <w:p>
            <w:r>
              <w:t>Vật tư khó mua</w:t>
            </w:r>
          </w:p>
        </w:tc>
        <w:tc>
          <w:tcPr>
            <w:tcW w:type="dxa" w:w="2880"/>
            <w:vAlign w:val="center"/>
          </w:tcPr>
          <w:p>
            <w:r>
              <w:t>Thay thế gia dụng</w:t>
            </w:r>
          </w:p>
        </w:tc>
        <w:tc>
          <w:tcPr>
            <w:tcW w:type="dxa" w:w="2880"/>
            <w:vAlign w:val="center"/>
          </w:tcPr>
          <w:p>
            <w:r>
              <w:t>Lưu ý an toàn</w:t>
            </w:r>
          </w:p>
        </w:tc>
      </w:tr>
      <w:tr>
        <w:tc>
          <w:tcPr>
            <w:tcW w:type="dxa" w:w="2880"/>
            <w:vAlign w:val="center"/>
          </w:tcPr>
          <w:p>
            <w:r>
              <w:t>Hydrocolloid/film</w:t>
            </w:r>
          </w:p>
        </w:tc>
        <w:tc>
          <w:tcPr>
            <w:tcW w:type="dxa" w:w="2880"/>
            <w:vAlign w:val="center"/>
          </w:tcPr>
          <w:p>
            <w:r>
              <w:t>Mật ong/đường sệt + gạc; màng bọc thực phẩm (đục lỗ nhỏ)</w:t>
            </w:r>
          </w:p>
        </w:tc>
        <w:tc>
          <w:tcPr>
            <w:tcW w:type="dxa" w:w="2880"/>
            <w:vAlign w:val="center"/>
          </w:tcPr>
          <w:p>
            <w:r>
              <w:t>Chỉ tạm thời; thay 24–48h; tránh bết ướt/chảy.</w:t>
            </w:r>
          </w:p>
        </w:tc>
      </w:tr>
      <w:tr>
        <w:tc>
          <w:tcPr>
            <w:tcW w:type="dxa" w:w="2880"/>
            <w:vAlign w:val="center"/>
          </w:tcPr>
          <w:p>
            <w:r>
              <w:t>Keo mô</w:t>
            </w:r>
          </w:p>
        </w:tc>
        <w:tc>
          <w:tcPr>
            <w:tcW w:type="dxa" w:w="2880"/>
            <w:vAlign w:val="center"/>
          </w:tcPr>
          <w:p>
            <w:r>
              <w:t>Cyanoacrylate (keo 502/Super Glue) bản mini</w:t>
            </w:r>
          </w:p>
        </w:tc>
        <w:tc>
          <w:tcPr>
            <w:tcW w:type="dxa" w:w="2880"/>
            <w:vAlign w:val="center"/>
          </w:tcPr>
          <w:p>
            <w:r>
              <w:t>Chỉ neo mép băng/da khô; tránh mắt/ống tai; không tra vào vết.</w:t>
            </w:r>
          </w:p>
        </w:tc>
      </w:tr>
      <w:tr>
        <w:tc>
          <w:tcPr>
            <w:tcW w:type="dxa" w:w="2880"/>
            <w:vAlign w:val="center"/>
          </w:tcPr>
          <w:p>
            <w:r>
              <w:t>Kìm kim/dao mổ</w:t>
            </w:r>
          </w:p>
        </w:tc>
        <w:tc>
          <w:tcPr>
            <w:tcW w:type="dxa" w:w="2880"/>
            <w:vAlign w:val="center"/>
          </w:tcPr>
          <w:p>
            <w:r>
              <w:t>Nhíp/kềm nhỏ; dao lam mới</w:t>
            </w:r>
          </w:p>
        </w:tc>
        <w:tc>
          <w:tcPr>
            <w:tcW w:type="dxa" w:w="2880"/>
            <w:vAlign w:val="center"/>
          </w:tcPr>
          <w:p>
            <w:r>
              <w:t>Khử khuẩn: luộc 20’ hoặc cồn 70% + hơ nhanh.</w:t>
            </w:r>
          </w:p>
        </w:tc>
      </w:tr>
      <w:tr>
        <w:tc>
          <w:tcPr>
            <w:tcW w:type="dxa" w:w="2880"/>
            <w:vAlign w:val="center"/>
          </w:tcPr>
          <w:p>
            <w:r>
              <w:t>Băng y tế tự dính</w:t>
            </w:r>
          </w:p>
        </w:tc>
        <w:tc>
          <w:tcPr>
            <w:tcW w:type="dxa" w:w="2880"/>
            <w:vAlign w:val="center"/>
          </w:tcPr>
          <w:p>
            <w:r>
              <w:t>Băng vải, băng keo giấy/vải</w:t>
            </w:r>
          </w:p>
        </w:tc>
        <w:tc>
          <w:tcPr>
            <w:tcW w:type="dxa" w:w="2880"/>
            <w:vAlign w:val="center"/>
          </w:tcPr>
          <w:p>
            <w:r>
              <w:t>Không dán trực tiếp lên vùng lông rộng.</w:t>
            </w:r>
          </w:p>
        </w:tc>
      </w:tr>
      <w:tr>
        <w:tc>
          <w:tcPr>
            <w:tcW w:type="dxa" w:w="2880"/>
            <w:vAlign w:val="center"/>
          </w:tcPr>
          <w:p>
            <w:r>
              <w:t>Nước rửa mắt</w:t>
            </w:r>
          </w:p>
        </w:tc>
        <w:tc>
          <w:tcPr>
            <w:tcW w:type="dxa" w:w="2880"/>
            <w:vAlign w:val="center"/>
          </w:tcPr>
          <w:p>
            <w:r>
              <w:t>Nước đun sôi nguội trong chai bóp sạch</w:t>
            </w:r>
          </w:p>
        </w:tc>
        <w:tc>
          <w:tcPr>
            <w:tcW w:type="dxa" w:w="2880"/>
            <w:vAlign w:val="center"/>
          </w:tcPr>
          <w:p>
            <w:r>
              <w:t>Ưu tiên NaCl 0,9% tự pha; chỉ để rửa, không nhỏ kéo dài.</w:t>
            </w:r>
          </w:p>
        </w:tc>
      </w:tr>
    </w:tbl>
    <w:p>
      <w:r>
        <w:br w:type="page"/>
      </w:r>
    </w:p>
    <w:p>
      <w:r>
        <w:rPr>
          <w:b/>
          <w:sz w:val="28"/>
        </w:rPr>
        <w:t>Checklist in A4 – tick khi hoàn thành</w:t>
      </w:r>
    </w:p>
    <w:p>
      <w:r>
        <w:rPr>
          <w:b/>
          <w:sz w:val="24"/>
        </w:rPr>
        <w:t>A) Chuẩn bị &amp; sát trùng</w:t>
      </w:r>
    </w:p>
    <w:p>
      <w:r>
        <w:t>☐ Pha sẵn: NaCl 0,9%; CHX 0,05% hoặc PVI 0,5–1% (dán nhãn ngày pha).</w:t>
      </w:r>
    </w:p>
    <w:p>
      <w:r>
        <w:t>☐ Dụng cụ rửa: bơm tiêm + ống thông; khăn/khay sạch; che mắt.</w:t>
      </w:r>
    </w:p>
    <w:p>
      <w:r>
        <w:t>☐ Dụng cụ cắt lọc/khâu: dao/kéo; chỉ/kim; nhíp/kềm.</w:t>
      </w:r>
    </w:p>
    <w:p>
      <w:r>
        <w:rPr>
          <w:b/>
          <w:sz w:val="24"/>
        </w:rPr>
        <w:t>B) Gây tê/giảm đau</w:t>
      </w:r>
    </w:p>
    <w:p>
      <w:r>
        <w:t>☐ Lidocain 1% quanh mép da (≤4 mg/kg).</w:t>
      </w:r>
    </w:p>
    <w:p>
      <w:r>
        <w:t>☐ Meloxicam 0,2–0,5 mg/kg (± Butorphanol 0,5–1 mg/kg nếu đau nhiều).</w:t>
      </w:r>
    </w:p>
    <w:p>
      <w:r>
        <w:rPr>
          <w:b/>
          <w:sz w:val="24"/>
        </w:rPr>
        <w:t>C) Xử trí vết</w:t>
      </w:r>
    </w:p>
    <w:p>
      <w:r>
        <w:t>☐ Rửa NaCl → sát trùng loãng; cắt lọc nhẹ.</w:t>
      </w:r>
    </w:p>
    <w:p>
      <w:r>
        <w:t>☐ Đặt gạc không dính + (hydrocolloid nếu có).</w:t>
      </w:r>
    </w:p>
    <w:p>
      <w:r>
        <w:t>☐ Dán mũ skullcap; không che tai/siết hàm.</w:t>
      </w:r>
    </w:p>
    <w:p>
      <w:r>
        <w:rPr>
          <w:b/>
          <w:sz w:val="24"/>
        </w:rPr>
        <w:t>D) Theo dõi &amp; thay băng</w:t>
      </w:r>
    </w:p>
    <w:p>
      <w:r>
        <w:t>☐ Kiểm tra sau 24–48h; thay 2–3 ngày/lần.</w:t>
      </w:r>
    </w:p>
    <w:p>
      <w:r>
        <w:t>☐ Ghi sổ: ăn/uống/phân; màu mô; mùi/dịch.</w:t>
      </w:r>
    </w:p>
    <w:p>
      <w:r>
        <w:rPr>
          <w:b/>
          <w:sz w:val="24"/>
        </w:rPr>
        <w:t>E) Đóng trì hoãn</w:t>
      </w:r>
    </w:p>
    <w:p>
      <w:r>
        <w:t>☐ Khi mô sạch &amp; giảm căng đạt → khâu nylon 4-0 mũi rời/đệm ngang.</w:t>
      </w:r>
    </w:p>
    <w:p>
      <w:r>
        <w:t>☐ Cắt chỉ 7–10 ngày nếu vết ổn.</w:t>
      </w:r>
    </w:p>
    <w:p>
      <w:r>
        <w:rPr>
          <w:b/>
          <w:sz w:val="24"/>
        </w:rPr>
        <w:t>F) Hậu phẫu – môi trường</w:t>
      </w:r>
    </w:p>
    <w:p>
      <w:r>
        <w:t>☐ Giữ ấm 22–25°C; ẩm 50–70%; yên tĩnh, tránh gió lùa.</w:t>
      </w:r>
    </w:p>
    <w:p>
      <w:r>
        <w:t>☐ Nước + điện giải; khẩu phần đạm 18–22%; bổ sung A/kẽm.</w:t>
      </w:r>
    </w:p>
    <w:p>
      <w:r>
        <w:rPr>
          <w:i/>
        </w:rPr>
        <w:t>Lưu ý: Nếu vết hôi, sưng nóng, gà lừ đừ/khó thở → liên hệ bác sĩ thú y.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 w:eastAsia="Times New Roman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